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6B" w:rsidRDefault="002C4C6B" w:rsidP="002C4C6B">
      <w:pPr>
        <w:spacing w:line="560" w:lineRule="exact"/>
        <w:rPr>
          <w:rFonts w:ascii="黑体" w:eastAsia="黑体" w:hAnsi="黑体" w:hint="eastAsia"/>
          <w:szCs w:val="28"/>
        </w:rPr>
      </w:pPr>
      <w:r>
        <w:rPr>
          <w:rFonts w:ascii="黑体" w:eastAsia="黑体" w:hAnsi="黑体" w:hint="eastAsia"/>
          <w:sz w:val="28"/>
          <w:szCs w:val="28"/>
        </w:rPr>
        <w:t>附件1</w:t>
      </w:r>
    </w:p>
    <w:p w:rsidR="002C4C6B" w:rsidRDefault="002C4C6B" w:rsidP="002C4C6B">
      <w:pPr>
        <w:spacing w:line="560" w:lineRule="exact"/>
        <w:rPr>
          <w:rFonts w:ascii="黑体" w:eastAsia="黑体" w:hAnsi="黑体"/>
          <w:sz w:val="28"/>
          <w:szCs w:val="28"/>
        </w:rPr>
      </w:pPr>
    </w:p>
    <w:p w:rsidR="002C4C6B" w:rsidRDefault="002C4C6B" w:rsidP="002C4C6B">
      <w:pPr>
        <w:spacing w:line="560" w:lineRule="exact"/>
        <w:jc w:val="center"/>
        <w:rPr>
          <w:rFonts w:ascii="方正小标宋简体" w:eastAsia="方正小标宋简体" w:hAnsi="黑体" w:cs="宋体"/>
          <w:sz w:val="44"/>
          <w:szCs w:val="44"/>
        </w:rPr>
      </w:pPr>
      <w:r>
        <w:rPr>
          <w:rFonts w:ascii="方正小标宋简体" w:eastAsia="方正小标宋简体" w:hAnsi="黑体" w:cs="宋体" w:hint="eastAsia"/>
          <w:sz w:val="44"/>
          <w:szCs w:val="44"/>
        </w:rPr>
        <w:t>新文科研究与改革实践项目指南</w:t>
      </w:r>
    </w:p>
    <w:p w:rsidR="002C4C6B" w:rsidRDefault="002C4C6B" w:rsidP="002C4C6B">
      <w:pPr>
        <w:spacing w:line="560" w:lineRule="exact"/>
        <w:rPr>
          <w:rFonts w:ascii="黑体" w:eastAsia="黑体" w:hAnsi="黑体" w:cs="宋体"/>
          <w:bCs/>
          <w:szCs w:val="32"/>
        </w:rPr>
      </w:pP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cs="仿宋_GB2312"/>
          <w:sz w:val="32"/>
          <w:szCs w:val="32"/>
        </w:rPr>
      </w:pPr>
      <w:r w:rsidRPr="002C4C6B">
        <w:rPr>
          <w:rFonts w:ascii="黑体" w:eastAsia="黑体" w:hAnsi="黑体" w:cs="仿宋_GB2312" w:hint="eastAsia"/>
          <w:sz w:val="32"/>
          <w:szCs w:val="32"/>
        </w:rPr>
        <w:t>一、新文科建设发展理念研究与实践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1.新文科建设发展理念研究</w:t>
      </w:r>
    </w:p>
    <w:p w:rsidR="002C4C6B" w:rsidRPr="002C4C6B" w:rsidRDefault="002C4C6B" w:rsidP="002C4C6B">
      <w:pPr>
        <w:pStyle w:val="a5"/>
        <w:adjustRightInd w:val="0"/>
        <w:snapToGrid w:val="0"/>
        <w:spacing w:line="560" w:lineRule="exact"/>
        <w:ind w:rightChars="-27" w:right="-59" w:firstLineChars="200" w:firstLine="640"/>
        <w:jc w:val="both"/>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研究论文、研究报告、案例分析、政策建议等。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2.新文科建设改革与发展研究</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系统总结文科教育发展和文科人才培养的历史经验，深入研究分析新文科建设面临的机遇和挑战，明确文科教育在整个高等教育中的新定位新功能。主动服务国家软实力提升和文化繁荣发展新需求，尊重文科教育特点和文科人才成长规律，明确各专业类新文科建设的重点难点问题，研究提出各专业类新文科建设人才培养目标、知识能力素质</w:t>
      </w:r>
      <w:r w:rsidRPr="002C4C6B">
        <w:rPr>
          <w:rFonts w:ascii="仿宋_GB2312" w:eastAsia="仿宋_GB2312" w:hAnsi="仿宋_GB2312" w:cs="仿宋_GB2312" w:hint="eastAsia"/>
          <w:sz w:val="32"/>
          <w:szCs w:val="32"/>
        </w:rPr>
        <w:lastRenderedPageBreak/>
        <w:t>要求及实现途径。研究高等文科教育发展与经济社会发展、新科技革命和产业变革间的互动规律和未来发展趋势，探索推进跨专业、跨学科门类交叉融合的有效路径。</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研究报告、政策建议、典型案例集等。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3.新文科建设政策与支撑体系研究</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sz w:val="32"/>
          <w:szCs w:val="32"/>
        </w:rPr>
        <w:t>预期成果：</w:t>
      </w:r>
      <w:r w:rsidRPr="002C4C6B">
        <w:rPr>
          <w:rFonts w:ascii="仿宋_GB2312" w:hAnsi="仿宋_GB2312" w:cs="仿宋_GB2312" w:hint="eastAsia"/>
          <w:sz w:val="32"/>
          <w:szCs w:val="32"/>
        </w:rPr>
        <w:t>调研报告、咨询报告、政策建议、典型案例等。</w:t>
      </w: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cs="仿宋_GB2312"/>
          <w:sz w:val="32"/>
          <w:szCs w:val="32"/>
        </w:rPr>
      </w:pPr>
      <w:r w:rsidRPr="002C4C6B">
        <w:rPr>
          <w:rFonts w:ascii="黑体" w:eastAsia="黑体" w:hAnsi="黑体" w:cs="仿宋_GB2312" w:hint="eastAsia"/>
          <w:sz w:val="32"/>
          <w:szCs w:val="32"/>
        </w:rPr>
        <w:t>二、新文科专业优化研究与实践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4.新时代文科专业结构优化研究与实践</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面向国家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lastRenderedPageBreak/>
        <w:t>预期成果：</w:t>
      </w:r>
      <w:r w:rsidRPr="002C4C6B">
        <w:rPr>
          <w:rFonts w:ascii="仿宋_GB2312" w:eastAsia="仿宋_GB2312" w:hAnsi="仿宋_GB2312" w:cs="仿宋_GB2312" w:hint="eastAsia"/>
          <w:bCs/>
          <w:sz w:val="32"/>
          <w:szCs w:val="32"/>
        </w:rPr>
        <w:t>人才需求</w:t>
      </w:r>
      <w:r w:rsidRPr="002C4C6B">
        <w:rPr>
          <w:rFonts w:ascii="仿宋_GB2312" w:eastAsia="仿宋_GB2312" w:hAnsi="仿宋_GB2312" w:cs="仿宋_GB2312" w:hint="eastAsia"/>
          <w:sz w:val="32"/>
          <w:szCs w:val="32"/>
        </w:rPr>
        <w:t>调研报告、重点领域人才培养政策建议、新文科人才培养引导性专业建议目录、文科专业改革案例等。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5.原有文科专业改造提升改革与实践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立项要点：</w:t>
      </w:r>
      <w:r w:rsidRPr="002C4C6B">
        <w:rPr>
          <w:rFonts w:ascii="仿宋_GB2312" w:hAnsi="仿宋_GB2312" w:cs="仿宋_GB2312" w:hint="eastAsia"/>
          <w:sz w:val="32"/>
          <w:szCs w:val="32"/>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国家级和省级文科类“一流专业”、原有文科专业人才培养改革方案等。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6.新兴文科专业建设探索与实践</w:t>
      </w:r>
    </w:p>
    <w:p w:rsidR="002C4C6B" w:rsidRPr="002C4C6B" w:rsidRDefault="002C4C6B" w:rsidP="002C4C6B">
      <w:pPr>
        <w:pStyle w:val="a5"/>
        <w:tabs>
          <w:tab w:val="left" w:pos="8080"/>
        </w:tabs>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新兴文科专业设置论证报告、新兴文科专业建设和人才培养方案等。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7.新文科课程体系和教材体系建设实践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lastRenderedPageBreak/>
        <w:t>立项要点：</w:t>
      </w:r>
      <w:r w:rsidRPr="002C4C6B">
        <w:rPr>
          <w:rFonts w:ascii="仿宋_GB2312" w:hAnsi="仿宋_GB2312" w:cs="仿宋_GB2312" w:hint="eastAsia"/>
          <w:sz w:val="32"/>
          <w:szCs w:val="32"/>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rsidR="002C4C6B" w:rsidRPr="002C4C6B" w:rsidRDefault="002C4C6B" w:rsidP="002C4C6B">
      <w:pPr>
        <w:spacing w:line="560" w:lineRule="exact"/>
        <w:rPr>
          <w:rFonts w:ascii="仿宋_GB2312" w:hAnsi="仿宋_GB2312" w:cs="仿宋_GB2312" w:hint="eastAsia"/>
          <w:sz w:val="32"/>
          <w:szCs w:val="32"/>
        </w:rPr>
      </w:pPr>
      <w:r w:rsidRPr="002C4C6B">
        <w:rPr>
          <w:rFonts w:ascii="仿宋_GB2312" w:hAnsi="仿宋_GB2312" w:cs="仿宋_GB2312" w:hint="eastAsia"/>
          <w:b/>
          <w:bCs/>
          <w:sz w:val="32"/>
          <w:szCs w:val="32"/>
        </w:rPr>
        <w:t xml:space="preserve">    </w:t>
      </w: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国家级和省级文科“一流课程”、高校课程体系改革方案、高质量文科教材、课程教学案例及案例库等。</w:t>
      </w: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cs="仿宋_GB2312"/>
          <w:sz w:val="32"/>
          <w:szCs w:val="32"/>
        </w:rPr>
      </w:pPr>
      <w:r w:rsidRPr="002C4C6B">
        <w:rPr>
          <w:rFonts w:ascii="黑体" w:eastAsia="黑体" w:hAnsi="黑体" w:cs="仿宋_GB2312" w:hint="eastAsia"/>
          <w:sz w:val="32"/>
          <w:szCs w:val="32"/>
        </w:rPr>
        <w:t>三、新文科人才培养模式改革研究与实践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8.基础学科拔尖创新人才培养创新与实践</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文科基础学科拔尖学生培养基地、人才培养模式、培养方案、课程体系、管理机制及典型案例等。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9.政产学研协同育人机制创新与实践</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立项要点：</w:t>
      </w:r>
      <w:r w:rsidRPr="002C4C6B">
        <w:rPr>
          <w:rFonts w:ascii="仿宋_GB2312" w:eastAsia="仿宋_GB2312" w:hAnsi="仿宋_GB2312" w:cs="仿宋_GB2312" w:hint="eastAsia"/>
          <w:sz w:val="32"/>
          <w:szCs w:val="32"/>
        </w:rPr>
        <w:t>调研分析各学科专业政产学研协同育人机制</w:t>
      </w:r>
      <w:r w:rsidRPr="002C4C6B">
        <w:rPr>
          <w:rFonts w:ascii="仿宋_GB2312" w:eastAsia="仿宋_GB2312" w:hAnsi="仿宋_GB2312" w:cs="仿宋_GB2312" w:hint="eastAsia"/>
          <w:sz w:val="32"/>
          <w:szCs w:val="32"/>
        </w:rPr>
        <w:lastRenderedPageBreak/>
        <w:t>的现状与问题，结合国家战略和相关行业发展新需求，推动育人要素与创新资源共享互动，建立健全高校与有关部门、科研院所、行业企业协同培养新时代文科人才的新机制。</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sz w:val="32"/>
          <w:szCs w:val="32"/>
        </w:rPr>
        <w:t>预期成果：</w:t>
      </w:r>
      <w:r w:rsidRPr="002C4C6B">
        <w:rPr>
          <w:rFonts w:ascii="仿宋_GB2312" w:hAnsi="仿宋_GB2312" w:cs="仿宋_GB2312" w:hint="eastAsia"/>
          <w:sz w:val="32"/>
          <w:szCs w:val="32"/>
        </w:rPr>
        <w:t>政产学研协同育人有效运行机制和模式、典型案例等。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10.文科复合型人才培养创新与实践</w:t>
      </w:r>
    </w:p>
    <w:p w:rsidR="002C4C6B" w:rsidRPr="002C4C6B" w:rsidRDefault="002C4C6B" w:rsidP="002C4C6B">
      <w:pPr>
        <w:spacing w:line="560" w:lineRule="exact"/>
        <w:ind w:rightChars="-27" w:right="-59" w:firstLineChars="200" w:firstLine="640"/>
        <w:rPr>
          <w:rFonts w:ascii="仿宋_GB2312" w:hAnsi="仿宋_GB2312" w:cs="仿宋_GB2312" w:hint="eastAsia"/>
          <w:b/>
          <w:bCs/>
          <w:sz w:val="32"/>
          <w:szCs w:val="32"/>
        </w:rPr>
      </w:pPr>
      <w:r w:rsidRPr="002C4C6B">
        <w:rPr>
          <w:rFonts w:ascii="仿宋_GB2312" w:hAnsi="仿宋_GB2312" w:cs="仿宋_GB2312" w:hint="eastAsia"/>
          <w:b/>
          <w:bCs/>
          <w:sz w:val="32"/>
          <w:szCs w:val="32"/>
        </w:rPr>
        <w:t>立项要点：</w:t>
      </w:r>
      <w:r w:rsidRPr="002C4C6B">
        <w:rPr>
          <w:rFonts w:ascii="仿宋_GB2312" w:hAnsi="仿宋_GB2312" w:cs="仿宋_GB2312" w:hint="eastAsia"/>
          <w:sz w:val="32"/>
          <w:szCs w:val="32"/>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学科专业交叉的教学组织模式、管理模式及改革实施方案等。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11.高素质涉外人才培养创新与实践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立项要点：</w:t>
      </w:r>
      <w:r w:rsidRPr="002C4C6B">
        <w:rPr>
          <w:rFonts w:ascii="仿宋_GB2312" w:hAnsi="仿宋_GB2312" w:cs="仿宋_GB2312" w:hint="eastAsia"/>
          <w:sz w:val="32"/>
          <w:szCs w:val="32"/>
        </w:rPr>
        <w:t>主动服务中华文化“走出去”战略、“一带一路”建设和人类命运共同体建设，围绕提升人文素养、跨文化能力、复语能力等，加强课程体系整体设计，探索“专业</w:t>
      </w:r>
      <w:r w:rsidRPr="002C4C6B">
        <w:rPr>
          <w:rFonts w:ascii="仿宋_GB2312" w:hAnsi="仿宋_GB2312" w:cs="仿宋_GB2312" w:hint="eastAsia"/>
          <w:sz w:val="32"/>
          <w:szCs w:val="32"/>
        </w:rPr>
        <w:t>+</w:t>
      </w:r>
      <w:r w:rsidRPr="002C4C6B">
        <w:rPr>
          <w:rFonts w:ascii="仿宋_GB2312" w:hAnsi="仿宋_GB2312" w:cs="仿宋_GB2312" w:hint="eastAsia"/>
          <w:sz w:val="32"/>
          <w:szCs w:val="32"/>
        </w:rPr>
        <w:t>外语”培养模式，培养“一精多会、一专多能”的高素质国际化复合型人才。</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专业建设方案、人才培养模式总结、高质量课程与教材等。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12.新文科创新创业教育与实践</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lastRenderedPageBreak/>
        <w:t>立项要点：</w:t>
      </w:r>
      <w:r w:rsidRPr="002C4C6B">
        <w:rPr>
          <w:rFonts w:ascii="仿宋_GB2312" w:eastAsia="仿宋_GB2312" w:hAnsi="仿宋_GB2312" w:cs="仿宋_GB2312" w:hint="eastAsia"/>
          <w:sz w:val="32"/>
          <w:szCs w:val="32"/>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文科创新创业教育实践体系和典型案例、创新创业教育实践平台等。</w:t>
      </w: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sz w:val="32"/>
          <w:szCs w:val="32"/>
        </w:rPr>
      </w:pPr>
      <w:r w:rsidRPr="002C4C6B">
        <w:rPr>
          <w:rFonts w:ascii="黑体" w:eastAsia="黑体" w:hAnsi="黑体" w:hint="eastAsia"/>
          <w:sz w:val="32"/>
          <w:szCs w:val="32"/>
        </w:rPr>
        <w:t>四、重点领域分类推进研究与实践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13.文史哲领域新文科建设实践</w:t>
      </w:r>
    </w:p>
    <w:p w:rsidR="002C4C6B" w:rsidRPr="002C4C6B" w:rsidRDefault="002C4C6B" w:rsidP="002C4C6B">
      <w:pPr>
        <w:pStyle w:val="a5"/>
        <w:adjustRightInd w:val="0"/>
        <w:snapToGrid w:val="0"/>
        <w:spacing w:line="560" w:lineRule="exact"/>
        <w:ind w:rightChars="-27" w:right="-59" w:firstLineChars="200" w:firstLine="640"/>
        <w:jc w:val="both"/>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夯实基础学科，推进文史哲之间、文史哲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专业建设方案、人才培养方案、课程体系、跨学科课程建设等。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14.经管法领域新文科建设实践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立项要点：</w:t>
      </w:r>
      <w:r w:rsidRPr="002C4C6B">
        <w:rPr>
          <w:rFonts w:ascii="仿宋_GB2312" w:hAnsi="仿宋_GB2312" w:cs="仿宋_GB2312" w:hint="eastAsia"/>
          <w:sz w:val="32"/>
          <w:szCs w:val="32"/>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w:t>
      </w:r>
      <w:r w:rsidRPr="002C4C6B">
        <w:rPr>
          <w:rFonts w:ascii="仿宋_GB2312" w:hAnsi="仿宋_GB2312" w:cs="仿宋_GB2312" w:hint="eastAsia"/>
          <w:sz w:val="32"/>
          <w:szCs w:val="32"/>
        </w:rPr>
        <w:lastRenderedPageBreak/>
        <w:t>坚持以提升学生解决实际问题能力为导向，强化课程体系的实践性和应用，加快培养具有强烈本土化意识和国际视野的经管法人才。加大学科交叉融合和跨界整合的力度，培育新的学科专业增长点。</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专业建设方案、人才培养方案、课程体系、跨学科课程建设、经管法本土化教材等。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15.教育学领域新文科建设实践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立项要点：</w:t>
      </w:r>
      <w:r w:rsidRPr="002C4C6B">
        <w:rPr>
          <w:rFonts w:ascii="仿宋_GB2312" w:hAnsi="仿宋_GB2312" w:cs="仿宋_GB2312" w:hint="eastAsia"/>
          <w:sz w:val="32"/>
          <w:szCs w:val="32"/>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bCs/>
          <w:sz w:val="32"/>
          <w:szCs w:val="32"/>
        </w:rPr>
        <w:t>预期成果：</w:t>
      </w:r>
      <w:r w:rsidRPr="002C4C6B">
        <w:rPr>
          <w:rFonts w:ascii="仿宋_GB2312" w:hAnsi="仿宋_GB2312" w:cs="仿宋_GB2312" w:hint="eastAsia"/>
          <w:sz w:val="32"/>
          <w:szCs w:val="32"/>
        </w:rPr>
        <w:t>中国特色社会主义教育理论体系研究报告、专业建设方案、教学方法和教学模式改革案例等。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16.艺术学领域新文科建设实践</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深入分析应对技术变革和产业革命对艺术教</w:t>
      </w:r>
      <w:r w:rsidRPr="002C4C6B">
        <w:rPr>
          <w:rFonts w:ascii="仿宋_GB2312" w:eastAsia="仿宋_GB2312" w:hAnsi="仿宋_GB2312" w:cs="仿宋_GB2312" w:hint="eastAsia"/>
          <w:sz w:val="32"/>
          <w:szCs w:val="32"/>
        </w:rPr>
        <w:lastRenderedPageBreak/>
        <w:t>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体现新文科要求的艺术类公共基础课程、核心专业课程群、跨学科交叉系列课程、新形态教材等。</w:t>
      </w: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cs="仿宋_GB2312"/>
          <w:sz w:val="32"/>
          <w:szCs w:val="32"/>
        </w:rPr>
      </w:pPr>
      <w:r w:rsidRPr="002C4C6B">
        <w:rPr>
          <w:rFonts w:ascii="黑体" w:eastAsia="黑体" w:hAnsi="黑体" w:cs="仿宋_GB2312" w:hint="eastAsia"/>
          <w:sz w:val="32"/>
          <w:szCs w:val="32"/>
        </w:rPr>
        <w:t>五、新文科师资队伍建设研究与实践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17.新文科教师专业发展探索与实践</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立项要点：</w:t>
      </w:r>
      <w:r w:rsidRPr="002C4C6B">
        <w:rPr>
          <w:rFonts w:ascii="仿宋_GB2312" w:eastAsia="仿宋_GB2312" w:hAnsi="仿宋_GB2312" w:cs="仿宋_GB2312" w:hint="eastAsia"/>
          <w:sz w:val="32"/>
          <w:szCs w:val="32"/>
        </w:rPr>
        <w:t>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bCs/>
          <w:sz w:val="32"/>
          <w:szCs w:val="32"/>
        </w:rPr>
        <w:t>预期成果：</w:t>
      </w:r>
      <w:r w:rsidRPr="002C4C6B">
        <w:rPr>
          <w:rFonts w:ascii="仿宋_GB2312" w:eastAsia="仿宋_GB2312" w:hAnsi="仿宋_GB2312" w:cs="仿宋_GB2312" w:hint="eastAsia"/>
          <w:sz w:val="32"/>
          <w:szCs w:val="32"/>
        </w:rPr>
        <w:t>各学科专业文科教师实践能力标准、多样化的高校教师与行业人才双向交流项目、教师参与跨学科研究和教学资源建设的机制等。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18.融合现代信息技术的教师教学方法创新与实践</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sz w:val="32"/>
          <w:szCs w:val="32"/>
        </w:rPr>
        <w:t>立项要点：</w:t>
      </w:r>
      <w:r w:rsidRPr="002C4C6B">
        <w:rPr>
          <w:rFonts w:ascii="仿宋_GB2312" w:hAnsi="仿宋_GB2312" w:cs="仿宋_GB2312" w:hint="eastAsia"/>
          <w:sz w:val="32"/>
          <w:szCs w:val="32"/>
        </w:rPr>
        <w:t>推进信息技术与教育教学深度融合，探索人工智能、虚拟现实、数据挖掘等新技术促进教与学的方法路径，探究智慧环境下新文科专业的课堂教学改革模式。以学</w:t>
      </w:r>
      <w:r w:rsidRPr="002C4C6B">
        <w:rPr>
          <w:rFonts w:ascii="仿宋_GB2312" w:hAnsi="仿宋_GB2312" w:cs="仿宋_GB2312" w:hint="eastAsia"/>
          <w:sz w:val="32"/>
          <w:szCs w:val="32"/>
        </w:rPr>
        <w:lastRenderedPageBreak/>
        <w:t>生为中心，立足促进学生有效学习，推进新兴技术在文科教育教学中的深度应用，探索在线教学、混合式教学有效模式，创新课内课外师生互动机制。</w:t>
      </w:r>
    </w:p>
    <w:p w:rsidR="002C4C6B" w:rsidRPr="002C4C6B" w:rsidRDefault="002C4C6B" w:rsidP="002C4C6B">
      <w:pPr>
        <w:spacing w:line="560" w:lineRule="exact"/>
        <w:ind w:rightChars="-27" w:right="-59" w:firstLineChars="200" w:firstLine="640"/>
        <w:rPr>
          <w:rFonts w:ascii="仿宋" w:eastAsia="仿宋" w:hAnsi="仿宋"/>
          <w:sz w:val="32"/>
          <w:szCs w:val="32"/>
        </w:rPr>
      </w:pPr>
      <w:r w:rsidRPr="002C4C6B">
        <w:rPr>
          <w:rFonts w:ascii="仿宋_GB2312" w:hAnsi="仿宋_GB2312" w:cs="仿宋_GB2312" w:hint="eastAsia"/>
          <w:b/>
          <w:sz w:val="32"/>
          <w:szCs w:val="32"/>
        </w:rPr>
        <w:t>预期成果：</w:t>
      </w:r>
      <w:r w:rsidRPr="002C4C6B">
        <w:rPr>
          <w:rFonts w:ascii="仿宋_GB2312" w:hAnsi="仿宋_GB2312" w:cs="仿宋_GB2312" w:hint="eastAsia"/>
          <w:sz w:val="32"/>
          <w:szCs w:val="32"/>
        </w:rPr>
        <w:t>基于现代信息技术的教学模式、教学方法、学习方式、考核方式、教学制度改革创新的新方案和典型案例。</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19.教师教学发展示范中心建设</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立项要点：</w:t>
      </w:r>
      <w:r w:rsidRPr="002C4C6B">
        <w:rPr>
          <w:rFonts w:ascii="仿宋_GB2312" w:eastAsia="仿宋_GB2312" w:hAnsi="仿宋_GB2312" w:cs="仿宋_GB2312" w:hint="eastAsia"/>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预期成果：</w:t>
      </w:r>
      <w:r w:rsidRPr="002C4C6B">
        <w:rPr>
          <w:rFonts w:ascii="仿宋_GB2312" w:eastAsia="仿宋_GB2312" w:hAnsi="仿宋_GB2312" w:cs="仿宋_GB2312" w:hint="eastAsia"/>
          <w:sz w:val="32"/>
          <w:szCs w:val="32"/>
        </w:rPr>
        <w:t>可推广示范的教师教学发展中心管理模式和运行机制，文科教育教师教学发展示范中心，培训资源和案例等。</w:t>
      </w:r>
    </w:p>
    <w:p w:rsidR="002C4C6B" w:rsidRPr="002C4C6B" w:rsidRDefault="002C4C6B" w:rsidP="002C4C6B">
      <w:pPr>
        <w:pStyle w:val="a5"/>
        <w:adjustRightInd w:val="0"/>
        <w:snapToGrid w:val="0"/>
        <w:spacing w:line="560" w:lineRule="exact"/>
        <w:ind w:rightChars="-27" w:right="-59" w:firstLineChars="200" w:firstLine="640"/>
        <w:rPr>
          <w:rFonts w:ascii="黑体" w:eastAsia="黑体" w:hAnsi="黑体" w:cs="仿宋_GB2312"/>
          <w:sz w:val="32"/>
          <w:szCs w:val="32"/>
        </w:rPr>
      </w:pPr>
      <w:r w:rsidRPr="002C4C6B">
        <w:rPr>
          <w:rFonts w:ascii="黑体" w:eastAsia="黑体" w:hAnsi="黑体" w:cs="仿宋_GB2312" w:hint="eastAsia"/>
          <w:sz w:val="32"/>
          <w:szCs w:val="32"/>
        </w:rPr>
        <w:t>六、新文科特色质量文化建设研究与实践</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20.以质量提升为核心的管理体制机制建设</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立项要点：</w:t>
      </w:r>
      <w:r w:rsidRPr="002C4C6B">
        <w:rPr>
          <w:rFonts w:ascii="仿宋_GB2312" w:eastAsia="仿宋_GB2312" w:hAnsi="仿宋_GB2312" w:cs="仿宋_GB2312" w:hint="eastAsia"/>
          <w:bCs/>
          <w:sz w:val="32"/>
          <w:szCs w:val="32"/>
        </w:rPr>
        <w:t>开展富有文科教育特色、体现“</w:t>
      </w:r>
      <w:r w:rsidRPr="002C4C6B">
        <w:rPr>
          <w:rFonts w:ascii="仿宋_GB2312" w:eastAsia="仿宋_GB2312" w:hAnsi="仿宋_GB2312" w:cs="仿宋_GB2312" w:hint="eastAsia"/>
          <w:sz w:val="32"/>
          <w:szCs w:val="32"/>
        </w:rPr>
        <w:t>以本为本”“四个回归”的管理体制机制研究，建立以提升教育质量为核心、以激励教师投入人才培养为重点的管理制度体系，积极推进学分制、弹性学制，探索书院制等改革，全面提高文科人才培养能力。</w:t>
      </w:r>
    </w:p>
    <w:p w:rsidR="002C4C6B" w:rsidRPr="002C4C6B" w:rsidRDefault="002C4C6B" w:rsidP="002C4C6B">
      <w:pPr>
        <w:pStyle w:val="Style3"/>
        <w:adjustRightInd w:val="0"/>
        <w:snapToGrid w:val="0"/>
        <w:spacing w:line="560" w:lineRule="exact"/>
        <w:ind w:rightChars="-27" w:right="-59" w:firstLine="640"/>
        <w:rPr>
          <w:rFonts w:ascii="仿宋" w:eastAsia="仿宋" w:hAnsi="仿宋" w:cs="宋体"/>
          <w:sz w:val="32"/>
          <w:szCs w:val="32"/>
        </w:rPr>
      </w:pPr>
      <w:r w:rsidRPr="002C4C6B">
        <w:rPr>
          <w:rFonts w:ascii="仿宋_GB2312" w:eastAsia="仿宋_GB2312" w:hAnsi="仿宋_GB2312" w:cs="仿宋_GB2312" w:hint="eastAsia"/>
          <w:b/>
          <w:sz w:val="32"/>
          <w:szCs w:val="32"/>
        </w:rPr>
        <w:t>预期成果：</w:t>
      </w:r>
      <w:r w:rsidRPr="002C4C6B">
        <w:rPr>
          <w:rFonts w:ascii="仿宋_GB2312" w:eastAsia="仿宋_GB2312" w:hAnsi="仿宋_GB2312" w:cs="仿宋_GB2312" w:hint="eastAsia"/>
          <w:sz w:val="32"/>
          <w:szCs w:val="32"/>
        </w:rPr>
        <w:t>教师投入、学风建设、基本条件等方面与新</w:t>
      </w:r>
      <w:r w:rsidRPr="002C4C6B">
        <w:rPr>
          <w:rFonts w:ascii="仿宋_GB2312" w:eastAsia="仿宋_GB2312" w:hAnsi="仿宋_GB2312" w:cs="仿宋_GB2312" w:hint="eastAsia"/>
          <w:sz w:val="32"/>
          <w:szCs w:val="32"/>
        </w:rPr>
        <w:lastRenderedPageBreak/>
        <w:t>文科人才培养质量提升相适应的新制度新机制，高校管理体制机制改革方案、政策建议等。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21.高校内部教育质量保障体系建设</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立项要点：</w:t>
      </w:r>
      <w:r w:rsidRPr="002C4C6B">
        <w:rPr>
          <w:rFonts w:ascii="仿宋_GB2312" w:eastAsia="仿宋_GB2312" w:hAnsi="仿宋_GB2312" w:cs="仿宋_GB2312" w:hint="eastAsia"/>
          <w:bCs/>
          <w:sz w:val="32"/>
          <w:szCs w:val="32"/>
        </w:rPr>
        <w:t>研究</w:t>
      </w:r>
      <w:r w:rsidRPr="002C4C6B">
        <w:rPr>
          <w:rFonts w:ascii="仿宋_GB2312" w:eastAsia="仿宋_GB2312" w:hAnsi="仿宋_GB2312" w:cs="仿宋_GB2312" w:hint="eastAsia"/>
          <w:sz w:val="32"/>
          <w:szCs w:val="32"/>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rsidR="002C4C6B" w:rsidRPr="002C4C6B" w:rsidRDefault="002C4C6B" w:rsidP="002C4C6B">
      <w:pPr>
        <w:pStyle w:val="Style3"/>
        <w:adjustRightInd w:val="0"/>
        <w:snapToGrid w:val="0"/>
        <w:spacing w:line="560" w:lineRule="exact"/>
        <w:ind w:rightChars="-27" w:right="-59" w:firstLine="640"/>
        <w:rPr>
          <w:rFonts w:ascii="仿宋_GB2312" w:eastAsia="仿宋_GB2312" w:hAnsi="仿宋_GB2312" w:cs="仿宋_GB2312" w:hint="eastAsia"/>
          <w:sz w:val="32"/>
          <w:szCs w:val="32"/>
        </w:rPr>
      </w:pPr>
      <w:r w:rsidRPr="002C4C6B">
        <w:rPr>
          <w:rFonts w:ascii="仿宋_GB2312" w:eastAsia="仿宋_GB2312" w:hAnsi="仿宋_GB2312" w:cs="仿宋_GB2312" w:hint="eastAsia"/>
          <w:b/>
          <w:sz w:val="32"/>
          <w:szCs w:val="32"/>
        </w:rPr>
        <w:t>预期成果：</w:t>
      </w:r>
      <w:r w:rsidRPr="002C4C6B">
        <w:rPr>
          <w:rFonts w:ascii="仿宋_GB2312" w:eastAsia="仿宋_GB2312" w:hAnsi="仿宋_GB2312" w:cs="仿宋_GB2312" w:hint="eastAsia"/>
          <w:sz w:val="32"/>
          <w:szCs w:val="32"/>
        </w:rPr>
        <w:t>高校内部全方位的教育质量保障、评估、反馈和改进机制，新文科人才培养质量评价办法，研究报告、制度文件、实践案例等。</w:t>
      </w:r>
    </w:p>
    <w:p w:rsidR="002C4C6B" w:rsidRPr="002C4C6B" w:rsidRDefault="002C4C6B" w:rsidP="002C4C6B">
      <w:pPr>
        <w:pStyle w:val="a5"/>
        <w:adjustRightInd w:val="0"/>
        <w:snapToGrid w:val="0"/>
        <w:spacing w:line="560" w:lineRule="exact"/>
        <w:ind w:rightChars="-27" w:right="-59" w:firstLineChars="200" w:firstLine="643"/>
        <w:rPr>
          <w:rFonts w:ascii="楷体" w:eastAsia="楷体" w:hAnsi="楷体" w:cs="楷体"/>
          <w:b/>
          <w:bCs/>
          <w:sz w:val="32"/>
          <w:szCs w:val="32"/>
        </w:rPr>
      </w:pPr>
      <w:r w:rsidRPr="002C4C6B">
        <w:rPr>
          <w:rFonts w:ascii="楷体" w:eastAsia="楷体" w:hAnsi="楷体" w:cs="楷体" w:hint="eastAsia"/>
          <w:b/>
          <w:bCs/>
          <w:sz w:val="32"/>
          <w:szCs w:val="32"/>
        </w:rPr>
        <w:t>22.面向新文科的文科专业三级认证体系构建</w:t>
      </w:r>
    </w:p>
    <w:p w:rsidR="002C4C6B" w:rsidRPr="002C4C6B" w:rsidRDefault="002C4C6B" w:rsidP="002C4C6B">
      <w:pPr>
        <w:spacing w:line="560" w:lineRule="exact"/>
        <w:ind w:rightChars="-27" w:right="-59" w:firstLineChars="200" w:firstLine="640"/>
        <w:rPr>
          <w:rFonts w:ascii="仿宋_GB2312" w:hAnsi="仿宋_GB2312" w:cs="仿宋_GB2312" w:hint="eastAsia"/>
          <w:sz w:val="32"/>
          <w:szCs w:val="32"/>
        </w:rPr>
      </w:pPr>
      <w:r w:rsidRPr="002C4C6B">
        <w:rPr>
          <w:rFonts w:ascii="仿宋_GB2312" w:hAnsi="仿宋_GB2312" w:cs="仿宋_GB2312" w:hint="eastAsia"/>
          <w:b/>
          <w:sz w:val="32"/>
          <w:szCs w:val="32"/>
        </w:rPr>
        <w:t>立项要点：</w:t>
      </w:r>
      <w:r w:rsidRPr="002C4C6B">
        <w:rPr>
          <w:rFonts w:ascii="仿宋_GB2312" w:hAnsi="仿宋_GB2312" w:cs="仿宋_GB2312" w:hint="eastAsia"/>
          <w:sz w:val="32"/>
          <w:szCs w:val="32"/>
        </w:rPr>
        <w:t>坚持学生中心、产出导向、持续改进理念，在国家三级专业认证的框架下，按照</w:t>
      </w:r>
      <w:r w:rsidRPr="002C4C6B">
        <w:rPr>
          <w:rFonts w:ascii="仿宋_GB2312" w:hAnsi="仿宋_GB2312" w:cs="仿宋_GB2312" w:hint="eastAsia"/>
          <w:sz w:val="32"/>
          <w:szCs w:val="32"/>
          <w:shd w:val="clear" w:color="auto" w:fill="FFFFFF"/>
        </w:rPr>
        <w:t>“一级保合格、二级上水平、三级追卓越”的要求，</w:t>
      </w:r>
      <w:r w:rsidRPr="002C4C6B">
        <w:rPr>
          <w:rFonts w:ascii="仿宋_GB2312" w:hAnsi="仿宋_GB2312" w:cs="仿宋_GB2312" w:hint="eastAsia"/>
          <w:sz w:val="32"/>
          <w:szCs w:val="32"/>
        </w:rPr>
        <w:t>研究</w:t>
      </w:r>
      <w:r w:rsidRPr="002C4C6B">
        <w:rPr>
          <w:rFonts w:ascii="仿宋_GB2312" w:hAnsi="仿宋_GB2312" w:cs="仿宋_GB2312" w:hint="eastAsia"/>
          <w:sz w:val="32"/>
          <w:szCs w:val="32"/>
          <w:shd w:val="clear" w:color="auto" w:fill="FFFFFF"/>
        </w:rPr>
        <w:t>制定人文社科类专业三级认证指南，</w:t>
      </w:r>
      <w:r w:rsidRPr="002C4C6B">
        <w:rPr>
          <w:rFonts w:ascii="仿宋_GB2312" w:hAnsi="仿宋_GB2312" w:cs="仿宋_GB2312" w:hint="eastAsia"/>
          <w:sz w:val="32"/>
          <w:szCs w:val="32"/>
        </w:rPr>
        <w:t>构建基于专业办学基本状态监测的第一级认证、基于专业教学质量提升的第二级认证、基于专业教学质量卓越的第三级认证的标准体系，健全完善</w:t>
      </w:r>
      <w:r w:rsidRPr="002C4C6B">
        <w:rPr>
          <w:rFonts w:ascii="仿宋_GB2312" w:hAnsi="仿宋_GB2312" w:cs="仿宋_GB2312" w:hint="eastAsia"/>
          <w:sz w:val="32"/>
          <w:szCs w:val="32"/>
          <w:shd w:val="clear" w:color="auto" w:fill="FFFFFF"/>
        </w:rPr>
        <w:t>认证办法和程序，</w:t>
      </w:r>
      <w:r w:rsidRPr="002C4C6B">
        <w:rPr>
          <w:rFonts w:ascii="仿宋_GB2312" w:hAnsi="仿宋_GB2312" w:cs="仿宋_GB2312" w:hint="eastAsia"/>
          <w:sz w:val="32"/>
          <w:szCs w:val="32"/>
        </w:rPr>
        <w:t>推动高校合理定位、规范办学、特色发展、追求卓越。</w:t>
      </w:r>
    </w:p>
    <w:p w:rsidR="002C4C6B" w:rsidRPr="002C4C6B" w:rsidRDefault="002C4C6B" w:rsidP="002C4C6B">
      <w:pPr>
        <w:pStyle w:val="a5"/>
        <w:adjustRightInd w:val="0"/>
        <w:snapToGrid w:val="0"/>
        <w:spacing w:line="560" w:lineRule="exact"/>
        <w:ind w:rightChars="-27" w:right="-59" w:firstLineChars="200" w:firstLine="643"/>
        <w:rPr>
          <w:rFonts w:ascii="仿宋_GB2312" w:eastAsia="仿宋_GB2312" w:hAnsi="仿宋_GB2312" w:cs="仿宋_GB2312" w:hint="eastAsia"/>
          <w:sz w:val="32"/>
          <w:szCs w:val="32"/>
        </w:rPr>
      </w:pPr>
      <w:r w:rsidRPr="002C4C6B">
        <w:rPr>
          <w:rFonts w:ascii="仿宋_GB2312" w:hAnsi="仿宋_GB2312" w:cs="仿宋_GB2312" w:hint="eastAsia"/>
          <w:b/>
          <w:sz w:val="32"/>
          <w:szCs w:val="32"/>
        </w:rPr>
        <w:t xml:space="preserve">    </w:t>
      </w:r>
      <w:r w:rsidRPr="002C4C6B">
        <w:rPr>
          <w:rFonts w:ascii="仿宋_GB2312" w:hAnsi="仿宋_GB2312" w:cs="仿宋_GB2312" w:hint="eastAsia"/>
          <w:b/>
          <w:sz w:val="32"/>
          <w:szCs w:val="32"/>
        </w:rPr>
        <w:t>预期成果：</w:t>
      </w:r>
      <w:r w:rsidRPr="002C4C6B">
        <w:rPr>
          <w:rFonts w:ascii="仿宋_GB2312" w:hAnsi="仿宋_GB2312" w:cs="仿宋_GB2312" w:hint="eastAsia"/>
          <w:sz w:val="32"/>
          <w:szCs w:val="32"/>
        </w:rPr>
        <w:t>人文社科类专业三级认证标准体系，认证办法等。</w:t>
      </w:r>
    </w:p>
    <w:p w:rsidR="002C4C6B" w:rsidRPr="002C4C6B" w:rsidRDefault="002C4C6B" w:rsidP="002C4C6B">
      <w:pPr>
        <w:pStyle w:val="a5"/>
        <w:adjustRightInd w:val="0"/>
        <w:snapToGrid w:val="0"/>
        <w:spacing w:line="560" w:lineRule="exact"/>
        <w:ind w:rightChars="-27" w:right="-59" w:firstLineChars="200" w:firstLine="640"/>
        <w:rPr>
          <w:rFonts w:ascii="仿宋_GB2312" w:eastAsia="仿宋_GB2312" w:hAnsi="仿宋_GB2312" w:cs="仿宋_GB2312" w:hint="eastAsia"/>
          <w:sz w:val="32"/>
          <w:szCs w:val="32"/>
        </w:rPr>
      </w:pPr>
    </w:p>
    <w:p w:rsidR="004358AB" w:rsidRPr="002C4C6B" w:rsidRDefault="004358AB" w:rsidP="002C4C6B">
      <w:pPr>
        <w:spacing w:line="220" w:lineRule="atLeast"/>
        <w:rPr>
          <w:sz w:val="32"/>
          <w:szCs w:val="32"/>
        </w:rPr>
      </w:pPr>
    </w:p>
    <w:sectPr w:rsidR="004358AB" w:rsidRPr="002C4C6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346" w:rsidRDefault="00E70346" w:rsidP="002C4C6B">
      <w:pPr>
        <w:spacing w:after="0"/>
      </w:pPr>
      <w:r>
        <w:separator/>
      </w:r>
    </w:p>
  </w:endnote>
  <w:endnote w:type="continuationSeparator" w:id="0">
    <w:p w:rsidR="00E70346" w:rsidRDefault="00E70346" w:rsidP="002C4C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346" w:rsidRDefault="00E70346" w:rsidP="002C4C6B">
      <w:pPr>
        <w:spacing w:after="0"/>
      </w:pPr>
      <w:r>
        <w:separator/>
      </w:r>
    </w:p>
  </w:footnote>
  <w:footnote w:type="continuationSeparator" w:id="0">
    <w:p w:rsidR="00E70346" w:rsidRDefault="00E70346" w:rsidP="002C4C6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C4C6B"/>
    <w:rsid w:val="00323B43"/>
    <w:rsid w:val="003D37D8"/>
    <w:rsid w:val="00426133"/>
    <w:rsid w:val="004358AB"/>
    <w:rsid w:val="008B7726"/>
    <w:rsid w:val="00AC4394"/>
    <w:rsid w:val="00D31D50"/>
    <w:rsid w:val="00E70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4C6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C4C6B"/>
    <w:rPr>
      <w:rFonts w:ascii="Tahoma" w:hAnsi="Tahoma"/>
      <w:sz w:val="18"/>
      <w:szCs w:val="18"/>
    </w:rPr>
  </w:style>
  <w:style w:type="paragraph" w:styleId="a4">
    <w:name w:val="footer"/>
    <w:basedOn w:val="a"/>
    <w:link w:val="Char0"/>
    <w:unhideWhenUsed/>
    <w:qFormat/>
    <w:rsid w:val="002C4C6B"/>
    <w:pPr>
      <w:tabs>
        <w:tab w:val="center" w:pos="4153"/>
        <w:tab w:val="right" w:pos="8306"/>
      </w:tabs>
    </w:pPr>
    <w:rPr>
      <w:sz w:val="18"/>
      <w:szCs w:val="18"/>
    </w:rPr>
  </w:style>
  <w:style w:type="character" w:customStyle="1" w:styleId="Char0">
    <w:name w:val="页脚 Char"/>
    <w:basedOn w:val="a0"/>
    <w:link w:val="a4"/>
    <w:uiPriority w:val="99"/>
    <w:semiHidden/>
    <w:rsid w:val="002C4C6B"/>
    <w:rPr>
      <w:rFonts w:ascii="Tahoma" w:hAnsi="Tahoma"/>
      <w:sz w:val="18"/>
      <w:szCs w:val="18"/>
    </w:rPr>
  </w:style>
  <w:style w:type="paragraph" w:styleId="a5">
    <w:name w:val="annotation text"/>
    <w:basedOn w:val="a"/>
    <w:link w:val="Char1"/>
    <w:rsid w:val="002C4C6B"/>
    <w:pPr>
      <w:widowControl w:val="0"/>
      <w:adjustRightInd/>
      <w:snapToGrid/>
      <w:spacing w:after="0" w:line="500" w:lineRule="exact"/>
    </w:pPr>
    <w:rPr>
      <w:rFonts w:ascii="等线" w:eastAsia="等线" w:hAnsi="等线" w:cs="Times New Roman"/>
      <w:kern w:val="2"/>
      <w:sz w:val="28"/>
      <w:szCs w:val="21"/>
    </w:rPr>
  </w:style>
  <w:style w:type="character" w:customStyle="1" w:styleId="Char1">
    <w:name w:val="批注文字 Char"/>
    <w:basedOn w:val="a0"/>
    <w:link w:val="a5"/>
    <w:rsid w:val="002C4C6B"/>
    <w:rPr>
      <w:rFonts w:ascii="等线" w:eastAsia="等线" w:hAnsi="等线" w:cs="Times New Roman"/>
      <w:kern w:val="2"/>
      <w:sz w:val="28"/>
      <w:szCs w:val="21"/>
    </w:rPr>
  </w:style>
  <w:style w:type="paragraph" w:customStyle="1" w:styleId="Style3">
    <w:name w:val="_Style 3"/>
    <w:basedOn w:val="a"/>
    <w:uiPriority w:val="99"/>
    <w:qFormat/>
    <w:rsid w:val="002C4C6B"/>
    <w:pPr>
      <w:widowControl w:val="0"/>
      <w:adjustRightInd/>
      <w:snapToGrid/>
      <w:spacing w:after="0" w:line="500" w:lineRule="exact"/>
      <w:ind w:firstLineChars="200" w:firstLine="420"/>
      <w:jc w:val="both"/>
    </w:pPr>
    <w:rPr>
      <w:rFonts w:ascii="Calibri" w:eastAsia="宋体" w:hAnsi="Calibri" w:cs="Times New Roman"/>
      <w:kern w:val="2"/>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2021-03-24T03:30:00Z</dcterms:modified>
</cp:coreProperties>
</file>